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05691" w14:textId="6566D529" w:rsidR="0090459B" w:rsidRDefault="001E1314" w:rsidP="0090459B">
      <w:pPr>
        <w:shd w:val="clear" w:color="auto" w:fill="FFFFFF"/>
        <w:spacing w:before="280" w:after="280"/>
        <w:jc w:val="center"/>
        <w:rPr>
          <w:rFonts w:ascii="Futura Condensed Medium" w:eastAsia="Poppins Medium" w:hAnsi="Futura Condensed Medium" w:cs="Futura Condensed Medium"/>
          <w:color w:val="1E4164"/>
          <w:sz w:val="48"/>
          <w:szCs w:val="48"/>
        </w:rPr>
      </w:pPr>
      <w:r>
        <w:rPr>
          <w:rFonts w:ascii="Futura Condensed Medium" w:eastAsia="Poppins Medium" w:hAnsi="Futura Condensed Medium" w:cs="Futura Condensed Medium"/>
          <w:noProof/>
          <w:color w:val="1E4164"/>
          <w:sz w:val="48"/>
          <w:szCs w:val="48"/>
          <w14:ligatures w14:val="standardContextual"/>
        </w:rPr>
        <w:drawing>
          <wp:inline distT="0" distB="0" distL="0" distR="0" wp14:anchorId="350C65E1" wp14:editId="36C94971">
            <wp:extent cx="2485328" cy="466530"/>
            <wp:effectExtent l="0" t="0" r="4445" b="3810"/>
            <wp:docPr id="1060826374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826374" name="Graphic 106082637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62" cy="48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7EBE7" w14:textId="1A4534F5" w:rsidR="00EC4736" w:rsidRPr="00EC4736" w:rsidRDefault="00181B25" w:rsidP="00EC4736">
      <w:pPr>
        <w:shd w:val="clear" w:color="auto" w:fill="FFFFFF"/>
        <w:spacing w:before="280" w:after="280"/>
        <w:jc w:val="center"/>
        <w:rPr>
          <w:rFonts w:ascii="Futura Condensed Medium" w:eastAsia="Poppins Medium" w:hAnsi="Futura Condensed Medium" w:cs="Futura Condensed Medium"/>
          <w:color w:val="1E4164"/>
          <w:sz w:val="48"/>
          <w:szCs w:val="48"/>
        </w:rPr>
      </w:pPr>
      <w:r>
        <w:rPr>
          <w:rFonts w:ascii="Futura Condensed Medium" w:eastAsia="Poppins Medium" w:hAnsi="Futura Condensed Medium" w:cs="Futura Condensed Medium"/>
          <w:color w:val="1E4164"/>
          <w:sz w:val="48"/>
          <w:szCs w:val="48"/>
        </w:rPr>
        <w:t>Supporting</w:t>
      </w:r>
      <w:r w:rsidR="008F06DE">
        <w:rPr>
          <w:rFonts w:ascii="Futura Condensed Medium" w:eastAsia="Poppins Medium" w:hAnsi="Futura Condensed Medium" w:cs="Futura Condensed Medium"/>
          <w:color w:val="1E4164"/>
          <w:sz w:val="48"/>
          <w:szCs w:val="48"/>
        </w:rPr>
        <w:t xml:space="preserve"> the nexus</w:t>
      </w:r>
      <w:r>
        <w:rPr>
          <w:rFonts w:ascii="Futura Condensed Medium" w:eastAsia="Poppins Medium" w:hAnsi="Futura Condensed Medium" w:cs="Futura Condensed Medium"/>
          <w:color w:val="1E4164"/>
          <w:sz w:val="48"/>
          <w:szCs w:val="48"/>
        </w:rPr>
        <w:t xml:space="preserve"> between justice and</w:t>
      </w:r>
      <w:r w:rsidR="008F06DE">
        <w:rPr>
          <w:rFonts w:ascii="Futura Condensed Medium" w:eastAsia="Poppins Medium" w:hAnsi="Futura Condensed Medium" w:cs="Futura Condensed Medium"/>
          <w:color w:val="1E4164"/>
          <w:sz w:val="48"/>
          <w:szCs w:val="48"/>
        </w:rPr>
        <w:t xml:space="preserve"> open governance</w:t>
      </w:r>
      <w:r>
        <w:rPr>
          <w:rFonts w:ascii="Futura Condensed Medium" w:eastAsia="Poppins Medium" w:hAnsi="Futura Condensed Medium" w:cs="Futura Condensed Medium"/>
          <w:color w:val="1E4164"/>
          <w:sz w:val="48"/>
          <w:szCs w:val="48"/>
        </w:rPr>
        <w:t xml:space="preserve"> through a people-centered approach</w:t>
      </w:r>
    </w:p>
    <w:p w14:paraId="3411C945" w14:textId="77777777" w:rsidR="00EC4736" w:rsidRPr="006335C4" w:rsidRDefault="00EC4736" w:rsidP="00EC4736">
      <w:pPr>
        <w:shd w:val="clear" w:color="auto" w:fill="FFFFFF"/>
        <w:spacing w:before="280" w:after="280"/>
        <w:jc w:val="center"/>
        <w:rPr>
          <w:rFonts w:ascii="Calibri" w:hAnsi="Calibri" w:cs="Calibri"/>
          <w:b/>
          <w:color w:val="00689D"/>
          <w:sz w:val="28"/>
          <w:szCs w:val="28"/>
        </w:rPr>
      </w:pPr>
      <w:r w:rsidRPr="006335C4">
        <w:rPr>
          <w:rFonts w:ascii="Calibri" w:hAnsi="Calibri" w:cs="Calibri"/>
          <w:b/>
          <w:color w:val="00689D"/>
          <w:sz w:val="28"/>
          <w:szCs w:val="28"/>
        </w:rPr>
        <w:t>Concept Note</w:t>
      </w:r>
    </w:p>
    <w:p w14:paraId="069082CA" w14:textId="78D966D1" w:rsidR="00125734" w:rsidRPr="001E1314" w:rsidRDefault="001E1314" w:rsidP="00EC4736">
      <w:pPr>
        <w:jc w:val="center"/>
        <w:rPr>
          <w:rFonts w:ascii="Calibri" w:hAnsi="Calibri" w:cs="Calibri"/>
          <w:bCs/>
          <w:color w:val="00689D"/>
        </w:rPr>
      </w:pPr>
      <w:r>
        <w:rPr>
          <w:rFonts w:ascii="Calibri" w:hAnsi="Calibri" w:cs="Calibri"/>
          <w:bCs/>
          <w:color w:val="00689D"/>
        </w:rPr>
        <w:t>2</w:t>
      </w:r>
      <w:r w:rsidR="0052144E">
        <w:rPr>
          <w:rFonts w:ascii="Calibri" w:hAnsi="Calibri" w:cs="Calibri"/>
          <w:bCs/>
          <w:color w:val="00689D"/>
        </w:rPr>
        <w:t>4</w:t>
      </w:r>
      <w:r w:rsidR="00125734" w:rsidRPr="001E1314">
        <w:rPr>
          <w:rFonts w:ascii="Calibri" w:hAnsi="Calibri" w:cs="Calibri"/>
          <w:bCs/>
          <w:color w:val="00689D"/>
        </w:rPr>
        <w:t xml:space="preserve"> </w:t>
      </w:r>
      <w:r>
        <w:rPr>
          <w:rFonts w:ascii="Calibri" w:hAnsi="Calibri" w:cs="Calibri"/>
          <w:bCs/>
          <w:color w:val="00689D"/>
        </w:rPr>
        <w:t>March</w:t>
      </w:r>
      <w:r w:rsidR="00EC4736" w:rsidRPr="001E1314">
        <w:rPr>
          <w:rFonts w:ascii="Calibri" w:hAnsi="Calibri" w:cs="Calibri"/>
          <w:bCs/>
          <w:color w:val="00689D"/>
        </w:rPr>
        <w:t xml:space="preserve"> 2025</w:t>
      </w:r>
      <w:r w:rsidR="00125734" w:rsidRPr="001E1314">
        <w:rPr>
          <w:rFonts w:ascii="Calibri" w:hAnsi="Calibri" w:cs="Calibri"/>
          <w:bCs/>
          <w:color w:val="00689D"/>
        </w:rPr>
        <w:t xml:space="preserve"> </w:t>
      </w:r>
      <w:r w:rsidR="00EC4736" w:rsidRPr="001E1314">
        <w:rPr>
          <w:rFonts w:ascii="Calibri" w:hAnsi="Calibri" w:cs="Calibri"/>
          <w:bCs/>
          <w:color w:val="00689D"/>
        </w:rPr>
        <w:t xml:space="preserve"> </w:t>
      </w:r>
    </w:p>
    <w:p w14:paraId="2963396E" w14:textId="042B0D3E" w:rsidR="00EC4736" w:rsidRPr="006335C4" w:rsidRDefault="00125734" w:rsidP="00EC4736">
      <w:pPr>
        <w:jc w:val="center"/>
        <w:rPr>
          <w:rFonts w:ascii="Calibri" w:hAnsi="Calibri" w:cs="Calibri"/>
          <w:bCs/>
          <w:color w:val="00689D"/>
        </w:rPr>
      </w:pPr>
      <w:r w:rsidRPr="001E1314">
        <w:rPr>
          <w:rFonts w:ascii="Calibri" w:hAnsi="Calibri" w:cs="Calibri"/>
          <w:bCs/>
          <w:color w:val="00689D"/>
        </w:rPr>
        <w:t>T</w:t>
      </w:r>
      <w:r w:rsidR="00EC4736" w:rsidRPr="001E1314">
        <w:rPr>
          <w:rFonts w:ascii="Calibri" w:hAnsi="Calibri" w:cs="Calibri"/>
          <w:bCs/>
          <w:color w:val="00689D"/>
        </w:rPr>
        <w:t>ime</w:t>
      </w:r>
      <w:r w:rsidR="008F645A">
        <w:rPr>
          <w:rFonts w:ascii="Calibri" w:hAnsi="Calibri" w:cs="Calibri"/>
          <w:bCs/>
          <w:color w:val="00689D"/>
        </w:rPr>
        <w:t>:</w:t>
      </w:r>
      <w:r w:rsidR="0052144E">
        <w:rPr>
          <w:rFonts w:ascii="Calibri" w:hAnsi="Calibri" w:cs="Calibri"/>
          <w:bCs/>
          <w:color w:val="00689D"/>
        </w:rPr>
        <w:t xml:space="preserve"> 3:30 – 4:45 pm</w:t>
      </w:r>
    </w:p>
    <w:p w14:paraId="5E9EF0E0" w14:textId="7B820B6D" w:rsidR="00EC4736" w:rsidRDefault="00EC4736" w:rsidP="00EC4736">
      <w:pPr>
        <w:jc w:val="center"/>
        <w:rPr>
          <w:rFonts w:ascii="Calibri" w:hAnsi="Calibri" w:cs="Calibri"/>
          <w:bCs/>
          <w:color w:val="00689D"/>
        </w:rPr>
      </w:pPr>
      <w:r w:rsidRPr="006335C4">
        <w:rPr>
          <w:rFonts w:ascii="Calibri" w:hAnsi="Calibri" w:cs="Calibri"/>
          <w:bCs/>
          <w:color w:val="00689D"/>
        </w:rPr>
        <w:t xml:space="preserve">OGP </w:t>
      </w:r>
      <w:r w:rsidR="001E1314">
        <w:rPr>
          <w:rFonts w:ascii="Calibri" w:hAnsi="Calibri" w:cs="Calibri"/>
          <w:bCs/>
          <w:color w:val="00689D"/>
        </w:rPr>
        <w:t>Africa and Middle East</w:t>
      </w:r>
      <w:r w:rsidRPr="006335C4">
        <w:rPr>
          <w:rFonts w:ascii="Calibri" w:hAnsi="Calibri" w:cs="Calibri"/>
          <w:bCs/>
          <w:color w:val="00689D"/>
        </w:rPr>
        <w:t xml:space="preserve"> Regional Meeting,</w:t>
      </w:r>
      <w:r w:rsidR="00D772FC">
        <w:rPr>
          <w:rFonts w:ascii="Calibri" w:hAnsi="Calibri" w:cs="Calibri"/>
          <w:bCs/>
          <w:color w:val="00689D"/>
        </w:rPr>
        <w:t xml:space="preserve"> </w:t>
      </w:r>
      <w:r w:rsidR="001E1314">
        <w:rPr>
          <w:rFonts w:ascii="Calibri" w:hAnsi="Calibri" w:cs="Calibri"/>
          <w:bCs/>
          <w:color w:val="00689D"/>
        </w:rPr>
        <w:t>Nairobi</w:t>
      </w:r>
      <w:r w:rsidR="00D772FC">
        <w:rPr>
          <w:rFonts w:ascii="Calibri" w:hAnsi="Calibri" w:cs="Calibri"/>
          <w:bCs/>
          <w:color w:val="00689D"/>
        </w:rPr>
        <w:t>,</w:t>
      </w:r>
      <w:r w:rsidRPr="006335C4">
        <w:rPr>
          <w:rFonts w:ascii="Calibri" w:hAnsi="Calibri" w:cs="Calibri"/>
          <w:bCs/>
          <w:color w:val="00689D"/>
        </w:rPr>
        <w:t xml:space="preserve"> </w:t>
      </w:r>
      <w:r w:rsidR="001E1314">
        <w:rPr>
          <w:rFonts w:ascii="Calibri" w:hAnsi="Calibri" w:cs="Calibri"/>
          <w:bCs/>
          <w:color w:val="00689D"/>
        </w:rPr>
        <w:t>Kenya</w:t>
      </w:r>
    </w:p>
    <w:p w14:paraId="0910E2CC" w14:textId="7C046B52" w:rsidR="001775CC" w:rsidRPr="006335C4" w:rsidRDefault="008F645A" w:rsidP="001775CC">
      <w:pPr>
        <w:jc w:val="center"/>
        <w:rPr>
          <w:rFonts w:ascii="Calibri" w:hAnsi="Calibri" w:cs="Calibri"/>
          <w:bCs/>
          <w:color w:val="00689D"/>
        </w:rPr>
      </w:pPr>
      <w:r>
        <w:rPr>
          <w:rFonts w:ascii="Calibri" w:hAnsi="Calibri" w:cs="Calibri"/>
          <w:bCs/>
          <w:color w:val="00689D"/>
        </w:rPr>
        <w:t>Venue:</w:t>
      </w:r>
      <w:r w:rsidR="0052144E">
        <w:rPr>
          <w:rFonts w:ascii="Calibri" w:hAnsi="Calibri" w:cs="Calibri"/>
          <w:bCs/>
          <w:color w:val="00689D"/>
        </w:rPr>
        <w:t xml:space="preserve"> </w:t>
      </w:r>
      <w:r w:rsidR="001775CC" w:rsidRPr="001775CC">
        <w:rPr>
          <w:rFonts w:ascii="Calibri" w:hAnsi="Calibri" w:cs="Calibri"/>
          <w:b/>
          <w:color w:val="00689D"/>
        </w:rPr>
        <w:t xml:space="preserve">Radisson Blu </w:t>
      </w:r>
      <w:proofErr w:type="spellStart"/>
      <w:r w:rsidR="001775CC" w:rsidRPr="001775CC">
        <w:rPr>
          <w:rFonts w:ascii="Calibri" w:hAnsi="Calibri" w:cs="Calibri"/>
          <w:b/>
          <w:color w:val="00689D"/>
        </w:rPr>
        <w:t>Upperhill</w:t>
      </w:r>
      <w:proofErr w:type="spellEnd"/>
      <w:r w:rsidR="001775CC" w:rsidRPr="001775CC">
        <w:rPr>
          <w:rFonts w:ascii="Calibri" w:hAnsi="Calibri" w:cs="Calibri"/>
          <w:b/>
          <w:color w:val="00689D"/>
        </w:rPr>
        <w:t xml:space="preserve"> Nairobi (Mt. Kenya 3)</w:t>
      </w:r>
    </w:p>
    <w:p w14:paraId="128B98E5" w14:textId="77777777" w:rsidR="00EC4736" w:rsidRDefault="00EC4736" w:rsidP="00EC4736">
      <w:pPr>
        <w:shd w:val="clear" w:color="auto" w:fill="FFFFFF"/>
        <w:spacing w:before="280" w:after="280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B8A7A4D" wp14:editId="3A82CC5E">
            <wp:extent cx="5918200" cy="109855"/>
            <wp:effectExtent l="0" t="0" r="0" b="0"/>
            <wp:docPr id="57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1098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7542AA" w14:textId="77777777" w:rsidR="00EC4736" w:rsidRPr="00F7479E" w:rsidRDefault="00EC4736" w:rsidP="00D83471">
      <w:pPr>
        <w:shd w:val="clear" w:color="auto" w:fill="FFFFFF"/>
        <w:spacing w:before="280" w:after="280"/>
        <w:jc w:val="both"/>
        <w:rPr>
          <w:rFonts w:ascii="Futura Condensed Medium" w:hAnsi="Futura Condensed Medium" w:cs="Futura Condensed Medium"/>
          <w:color w:val="00689D"/>
        </w:rPr>
      </w:pPr>
      <w:r w:rsidRPr="00F7479E">
        <w:rPr>
          <w:rFonts w:ascii="Futura Condensed Medium" w:hAnsi="Futura Condensed Medium" w:cs="Futura Condensed Medium" w:hint="cs"/>
          <w:color w:val="00689D"/>
        </w:rPr>
        <w:t>Background</w:t>
      </w:r>
    </w:p>
    <w:p w14:paraId="0D1801BB" w14:textId="7B89CFFC" w:rsidR="00B90B37" w:rsidRPr="00B90B37" w:rsidRDefault="00B90B37" w:rsidP="00D83471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hyperlink r:id="rId8" w:history="1">
        <w:r w:rsidRPr="00B90B37">
          <w:rPr>
            <w:rStyle w:val="Hyperlink"/>
            <w:rFonts w:ascii="Calibri" w:hAnsi="Calibri" w:cs="Calibri"/>
            <w:sz w:val="22"/>
            <w:szCs w:val="22"/>
          </w:rPr>
          <w:t>Open Government Partnership</w:t>
        </w:r>
      </w:hyperlink>
      <w:r>
        <w:rPr>
          <w:rFonts w:ascii="Calibri" w:hAnsi="Calibri" w:cs="Calibri"/>
          <w:sz w:val="22"/>
          <w:szCs w:val="22"/>
        </w:rPr>
        <w:t xml:space="preserve"> (OGP) </w:t>
      </w:r>
      <w:r w:rsidRPr="00B90B37">
        <w:rPr>
          <w:rFonts w:ascii="Calibri" w:hAnsi="Calibri" w:cs="Calibri"/>
          <w:sz w:val="22"/>
          <w:szCs w:val="22"/>
        </w:rPr>
        <w:t>works to expand responsiveness, accountability and inclusion into all systems of justice. For members of OGP, justice is a popular policy area for reform that has become an even greater priority in recent years.</w:t>
      </w:r>
    </w:p>
    <w:p w14:paraId="6716A911" w14:textId="5889AA3A" w:rsidR="005631E1" w:rsidRDefault="0025574F" w:rsidP="00D8347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According to OGP, i</w:t>
      </w:r>
      <w:r w:rsidRPr="0025574F">
        <w:rPr>
          <w:rFonts w:ascii="Calibri" w:hAnsi="Calibri" w:cs="Calibri"/>
          <w:sz w:val="22"/>
          <w:szCs w:val="22"/>
        </w:rPr>
        <w:t>nvesting in open and accessible justice institutions allows citizens to better defend their rights, demand access to public services, and protect their ability to participate in democratic processes. National-level institutions, such Ministries of Justice, as well as institutions at the ground level, such as court systems and legal assistance organizations, all have a role to play in delivering justice services and should be engaged in designing solutions to people’s justice problems. </w:t>
      </w:r>
    </w:p>
    <w:p w14:paraId="00DB624F" w14:textId="77777777" w:rsidR="005631E1" w:rsidRDefault="005631E1" w:rsidP="00D83471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Launched in November 2024, the </w:t>
      </w:r>
      <w:hyperlink r:id="rId9" w:history="1">
        <w:r w:rsidRPr="008F06DE">
          <w:rPr>
            <w:rStyle w:val="Hyperlink"/>
            <w:rFonts w:ascii="Calibri" w:hAnsi="Calibri" w:cs="Calibri"/>
            <w:sz w:val="22"/>
            <w:szCs w:val="22"/>
          </w:rPr>
          <w:t>African Alliance for People-Centered Justice</w:t>
        </w:r>
      </w:hyperlink>
      <w:r>
        <w:rPr>
          <w:rFonts w:ascii="Calibri" w:hAnsi="Calibri" w:cs="Calibri"/>
          <w:sz w:val="22"/>
          <w:szCs w:val="22"/>
        </w:rPr>
        <w:t xml:space="preserve"> (AAPCJ) </w:t>
      </w:r>
      <w:r w:rsidRPr="008F06DE">
        <w:rPr>
          <w:rFonts w:ascii="Calibri" w:hAnsi="Calibri" w:cs="Calibri"/>
          <w:sz w:val="22"/>
          <w:szCs w:val="22"/>
        </w:rPr>
        <w:t xml:space="preserve">is a high-ambition coalition of governmental, intergovernmental, and nongovernmental organizations that seek to promote the understanding and use of people-centered approaches to justice in Africa. It </w:t>
      </w:r>
      <w:r>
        <w:rPr>
          <w:rFonts w:ascii="Calibri" w:hAnsi="Calibri" w:cs="Calibri"/>
          <w:sz w:val="22"/>
          <w:szCs w:val="22"/>
        </w:rPr>
        <w:t>was created</w:t>
      </w:r>
      <w:r w:rsidRPr="008F06DE">
        <w:rPr>
          <w:rFonts w:ascii="Calibri" w:hAnsi="Calibri" w:cs="Calibri"/>
          <w:sz w:val="22"/>
          <w:szCs w:val="22"/>
        </w:rPr>
        <w:t xml:space="preserve"> to mainstream the concept of people-centered justice, supporting local and national actors in implementing policies </w:t>
      </w:r>
      <w:r>
        <w:rPr>
          <w:rFonts w:ascii="Calibri" w:hAnsi="Calibri" w:cs="Calibri"/>
          <w:sz w:val="22"/>
          <w:szCs w:val="22"/>
        </w:rPr>
        <w:t>that</w:t>
      </w:r>
      <w:r w:rsidRPr="008F06DE">
        <w:rPr>
          <w:rFonts w:ascii="Calibri" w:hAnsi="Calibri" w:cs="Calibri"/>
          <w:sz w:val="22"/>
          <w:szCs w:val="22"/>
        </w:rPr>
        <w:t xml:space="preserve"> contribute to the reduction of the justice gap </w:t>
      </w:r>
      <w:r>
        <w:rPr>
          <w:rFonts w:ascii="Calibri" w:hAnsi="Calibri" w:cs="Calibri"/>
          <w:sz w:val="22"/>
          <w:szCs w:val="22"/>
        </w:rPr>
        <w:t>while</w:t>
      </w:r>
      <w:r w:rsidRPr="008F06DE">
        <w:rPr>
          <w:rFonts w:ascii="Calibri" w:hAnsi="Calibri" w:cs="Calibri"/>
          <w:sz w:val="22"/>
          <w:szCs w:val="22"/>
        </w:rPr>
        <w:t xml:space="preserve"> foster</w:t>
      </w:r>
      <w:r>
        <w:rPr>
          <w:rFonts w:ascii="Calibri" w:hAnsi="Calibri" w:cs="Calibri"/>
          <w:sz w:val="22"/>
          <w:szCs w:val="22"/>
        </w:rPr>
        <w:t>ing</w:t>
      </w:r>
      <w:r w:rsidRPr="008F06DE">
        <w:rPr>
          <w:rFonts w:ascii="Calibri" w:hAnsi="Calibri" w:cs="Calibri"/>
          <w:sz w:val="22"/>
          <w:szCs w:val="22"/>
        </w:rPr>
        <w:t xml:space="preserve"> equal access to justice for all</w:t>
      </w:r>
      <w:r>
        <w:rPr>
          <w:rFonts w:ascii="Calibri" w:hAnsi="Calibri" w:cs="Calibri"/>
          <w:sz w:val="22"/>
          <w:szCs w:val="22"/>
        </w:rPr>
        <w:t>.</w:t>
      </w:r>
    </w:p>
    <w:p w14:paraId="480A14D1" w14:textId="23A6BAD5" w:rsidR="0025574F" w:rsidRDefault="005631E1" w:rsidP="00D83471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B90B37">
        <w:rPr>
          <w:rFonts w:ascii="Calibri" w:hAnsi="Calibri" w:cs="Calibri"/>
          <w:sz w:val="22"/>
          <w:szCs w:val="22"/>
        </w:rPr>
        <w:t xml:space="preserve">People-centered justice emphasizes practical, locally relevant solutions that directly tackle the barriers people face in accessing justice, especially marginalized and vulnerable groups. It </w:t>
      </w:r>
      <w:r>
        <w:rPr>
          <w:rFonts w:ascii="Calibri" w:hAnsi="Calibri" w:cs="Calibri"/>
          <w:sz w:val="22"/>
          <w:szCs w:val="22"/>
        </w:rPr>
        <w:t>relies on data driven approaches that considers people’s most pressing justice needs and</w:t>
      </w:r>
      <w:r w:rsidRPr="00B90B37">
        <w:rPr>
          <w:rFonts w:ascii="Calibri" w:hAnsi="Calibri" w:cs="Calibri"/>
          <w:sz w:val="22"/>
          <w:szCs w:val="22"/>
        </w:rPr>
        <w:t xml:space="preserve"> foster</w:t>
      </w:r>
      <w:r>
        <w:rPr>
          <w:rFonts w:ascii="Calibri" w:hAnsi="Calibri" w:cs="Calibri"/>
          <w:sz w:val="22"/>
          <w:szCs w:val="22"/>
        </w:rPr>
        <w:t>s</w:t>
      </w:r>
      <w:r w:rsidRPr="00B90B37">
        <w:rPr>
          <w:rFonts w:ascii="Calibri" w:hAnsi="Calibri" w:cs="Calibri"/>
          <w:sz w:val="22"/>
          <w:szCs w:val="22"/>
        </w:rPr>
        <w:t xml:space="preserve"> community-driven </w:t>
      </w:r>
      <w:r>
        <w:rPr>
          <w:rFonts w:ascii="Calibri" w:hAnsi="Calibri" w:cs="Calibri"/>
          <w:sz w:val="22"/>
          <w:szCs w:val="22"/>
        </w:rPr>
        <w:t>solutions</w:t>
      </w:r>
      <w:r w:rsidRPr="00B90B37">
        <w:rPr>
          <w:rFonts w:ascii="Calibri" w:hAnsi="Calibri" w:cs="Calibri"/>
          <w:sz w:val="22"/>
          <w:szCs w:val="22"/>
        </w:rPr>
        <w:t xml:space="preserve"> and grassroots participation.</w:t>
      </w:r>
    </w:p>
    <w:p w14:paraId="0DD613B6" w14:textId="6A6C5C21" w:rsidR="00B90B37" w:rsidRPr="008F06DE" w:rsidRDefault="0025574F" w:rsidP="00D8347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AAPCJ seeks to host a session during OGP’s Africa and Middle East Regional </w:t>
      </w:r>
      <w:r w:rsidR="005631E1">
        <w:rPr>
          <w:rFonts w:ascii="Calibri" w:hAnsi="Calibri" w:cs="Calibri"/>
          <w:sz w:val="22"/>
          <w:szCs w:val="22"/>
        </w:rPr>
        <w:t>Meeting in Nairobi, Kenya</w:t>
      </w:r>
      <w:r>
        <w:rPr>
          <w:rFonts w:ascii="Calibri" w:hAnsi="Calibri" w:cs="Calibri"/>
          <w:sz w:val="22"/>
          <w:szCs w:val="22"/>
        </w:rPr>
        <w:t xml:space="preserve"> </w:t>
      </w:r>
      <w:r w:rsidR="005631E1">
        <w:rPr>
          <w:rFonts w:ascii="Calibri" w:hAnsi="Calibri" w:cs="Calibri"/>
          <w:sz w:val="22"/>
          <w:szCs w:val="22"/>
        </w:rPr>
        <w:t>to illustrate the symbiosis that exists between access to justice and open governance and how a people-centered approach to justice serves as a catalyst towards the realization of both of these objectives.</w:t>
      </w:r>
    </w:p>
    <w:p w14:paraId="3CE3C3ED" w14:textId="77777777" w:rsidR="00EC4736" w:rsidRPr="00F7479E" w:rsidRDefault="00EC4736" w:rsidP="00D83471">
      <w:pPr>
        <w:shd w:val="clear" w:color="auto" w:fill="FFFFFF"/>
        <w:spacing w:before="280" w:after="280"/>
        <w:jc w:val="both"/>
        <w:rPr>
          <w:rFonts w:ascii="Futura Condensed Medium" w:hAnsi="Futura Condensed Medium" w:cs="Futura Condensed Medium"/>
          <w:color w:val="00689D"/>
        </w:rPr>
      </w:pPr>
      <w:r w:rsidRPr="00F7479E">
        <w:rPr>
          <w:rFonts w:ascii="Futura Condensed Medium" w:hAnsi="Futura Condensed Medium" w:cs="Futura Condensed Medium"/>
          <w:color w:val="00689D"/>
        </w:rPr>
        <w:lastRenderedPageBreak/>
        <w:t>Session Description</w:t>
      </w:r>
    </w:p>
    <w:p w14:paraId="5A10D545" w14:textId="4BC9AF92" w:rsidR="00EC4736" w:rsidRPr="00EC4736" w:rsidRDefault="00EC4736" w:rsidP="00D83471">
      <w:pPr>
        <w:shd w:val="clear" w:color="auto" w:fill="FFFFFF"/>
        <w:spacing w:before="280" w:after="280"/>
        <w:jc w:val="both"/>
        <w:rPr>
          <w:rFonts w:ascii="Calibri" w:eastAsia="Calibri" w:hAnsi="Calibri" w:cs="Calibri"/>
          <w:b/>
          <w:color w:val="00689D"/>
        </w:rPr>
      </w:pPr>
      <w:r w:rsidRPr="00EC4736">
        <w:rPr>
          <w:rFonts w:ascii="Calibri" w:hAnsi="Calibri" w:cs="Calibri"/>
          <w:sz w:val="22"/>
          <w:szCs w:val="22"/>
        </w:rPr>
        <w:t xml:space="preserve">The OGP </w:t>
      </w:r>
      <w:r w:rsidR="005631E1">
        <w:rPr>
          <w:rFonts w:ascii="Calibri" w:hAnsi="Calibri" w:cs="Calibri"/>
          <w:sz w:val="22"/>
          <w:szCs w:val="22"/>
        </w:rPr>
        <w:t xml:space="preserve">Africa and Middle East Regional Meeting </w:t>
      </w:r>
      <w:r w:rsidRPr="00EC4736">
        <w:rPr>
          <w:rFonts w:ascii="Calibri" w:hAnsi="Calibri" w:cs="Calibri"/>
          <w:sz w:val="22"/>
          <w:szCs w:val="22"/>
        </w:rPr>
        <w:t>is an</w:t>
      </w:r>
      <w:r w:rsidR="00125734">
        <w:rPr>
          <w:rFonts w:ascii="Calibri" w:hAnsi="Calibri" w:cs="Calibri"/>
          <w:sz w:val="22"/>
          <w:szCs w:val="22"/>
        </w:rPr>
        <w:t xml:space="preserve"> excellent</w:t>
      </w:r>
      <w:r w:rsidRPr="00EC4736">
        <w:rPr>
          <w:rFonts w:ascii="Calibri" w:hAnsi="Calibri" w:cs="Calibri"/>
          <w:sz w:val="22"/>
          <w:szCs w:val="22"/>
        </w:rPr>
        <w:t xml:space="preserve"> opportunity to</w:t>
      </w:r>
      <w:r w:rsidRPr="00EC473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C4736">
        <w:rPr>
          <w:rStyle w:val="Strong"/>
          <w:rFonts w:ascii="Calibri" w:hAnsi="Calibri" w:cs="Calibri"/>
          <w:b w:val="0"/>
          <w:bCs w:val="0"/>
          <w:sz w:val="22"/>
          <w:szCs w:val="22"/>
        </w:rPr>
        <w:t>foster collaboration and exchange</w:t>
      </w:r>
      <w:r w:rsidRPr="00EC473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C4736">
        <w:rPr>
          <w:rFonts w:ascii="Calibri" w:hAnsi="Calibri" w:cs="Calibri"/>
          <w:sz w:val="22"/>
          <w:szCs w:val="22"/>
        </w:rPr>
        <w:t>at a time</w:t>
      </w:r>
      <w:r w:rsidRPr="00EC473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C4736">
        <w:rPr>
          <w:rFonts w:ascii="Calibri" w:hAnsi="Calibri" w:cs="Calibri"/>
          <w:sz w:val="22"/>
          <w:szCs w:val="22"/>
        </w:rPr>
        <w:t>when</w:t>
      </w:r>
      <w:r w:rsidRPr="00EC473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C4736">
        <w:rPr>
          <w:rStyle w:val="Strong"/>
          <w:rFonts w:ascii="Calibri" w:hAnsi="Calibri" w:cs="Calibri"/>
          <w:b w:val="0"/>
          <w:bCs w:val="0"/>
          <w:sz w:val="22"/>
          <w:szCs w:val="22"/>
        </w:rPr>
        <w:t>transparency, accountability, and citizen engagement are more critical than ever in strengthening democratic governance across the region</w:t>
      </w:r>
      <w:r w:rsidRPr="00EC4736">
        <w:rPr>
          <w:rFonts w:ascii="Calibri" w:hAnsi="Calibri" w:cs="Calibri"/>
          <w:b/>
          <w:bCs/>
          <w:sz w:val="22"/>
          <w:szCs w:val="22"/>
        </w:rPr>
        <w:t>.</w:t>
      </w:r>
    </w:p>
    <w:p w14:paraId="154DCDA7" w14:textId="1E896D92" w:rsidR="00EC4736" w:rsidRPr="0080045C" w:rsidRDefault="1C233A14" w:rsidP="00D83471">
      <w:pPr>
        <w:pStyle w:val="NormalWeb"/>
        <w:jc w:val="both"/>
        <w:rPr>
          <w:rFonts w:ascii="Calibri" w:hAnsi="Calibri" w:cs="Calibri"/>
          <w:sz w:val="22"/>
          <w:szCs w:val="22"/>
        </w:rPr>
      </w:pPr>
      <w:r w:rsidRPr="1C233A14">
        <w:rPr>
          <w:rFonts w:ascii="Calibri" w:hAnsi="Calibri" w:cs="Calibri"/>
          <w:sz w:val="22"/>
          <w:szCs w:val="22"/>
        </w:rPr>
        <w:t xml:space="preserve">The </w:t>
      </w:r>
      <w:r w:rsidR="009D13D0">
        <w:rPr>
          <w:rFonts w:ascii="Calibri" w:hAnsi="Calibri" w:cs="Calibri"/>
          <w:sz w:val="22"/>
          <w:szCs w:val="22"/>
        </w:rPr>
        <w:t>75</w:t>
      </w:r>
      <w:r w:rsidR="00125734">
        <w:rPr>
          <w:rFonts w:ascii="Calibri" w:hAnsi="Calibri" w:cs="Calibri"/>
          <w:sz w:val="22"/>
          <w:szCs w:val="22"/>
        </w:rPr>
        <w:t>-minute</w:t>
      </w:r>
      <w:r w:rsidRPr="1C233A14">
        <w:rPr>
          <w:rFonts w:ascii="Calibri" w:hAnsi="Calibri" w:cs="Calibri"/>
          <w:sz w:val="22"/>
          <w:szCs w:val="22"/>
        </w:rPr>
        <w:t xml:space="preserve"> session </w:t>
      </w:r>
      <w:r w:rsidR="000D4AA9">
        <w:rPr>
          <w:rFonts w:ascii="Calibri" w:hAnsi="Calibri" w:cs="Calibri"/>
          <w:sz w:val="22"/>
          <w:szCs w:val="22"/>
        </w:rPr>
        <w:t>organized by</w:t>
      </w:r>
      <w:r w:rsidR="005631E1">
        <w:rPr>
          <w:rFonts w:ascii="Calibri" w:hAnsi="Calibri" w:cs="Calibri"/>
          <w:sz w:val="22"/>
          <w:szCs w:val="22"/>
        </w:rPr>
        <w:t xml:space="preserve"> the </w:t>
      </w:r>
      <w:hyperlink r:id="rId10" w:history="1">
        <w:r w:rsidR="005631E1" w:rsidRPr="005631E1">
          <w:rPr>
            <w:rStyle w:val="Hyperlink"/>
            <w:rFonts w:ascii="Calibri" w:hAnsi="Calibri" w:cs="Calibri"/>
            <w:sz w:val="22"/>
            <w:szCs w:val="22"/>
          </w:rPr>
          <w:t>African Alliance for People-Centered Justice</w:t>
        </w:r>
      </w:hyperlink>
      <w:r w:rsidR="000D4AA9">
        <w:rPr>
          <w:rFonts w:ascii="Calibri" w:hAnsi="Calibri" w:cs="Calibri"/>
          <w:sz w:val="22"/>
          <w:szCs w:val="22"/>
        </w:rPr>
        <w:t xml:space="preserve"> </w:t>
      </w:r>
      <w:r w:rsidRPr="1C233A14">
        <w:rPr>
          <w:rFonts w:ascii="Calibri" w:hAnsi="Calibri" w:cs="Calibri"/>
          <w:sz w:val="22"/>
          <w:szCs w:val="22"/>
        </w:rPr>
        <w:t>will be structured as an interactive panel discussion featuring representatives from government,</w:t>
      </w:r>
      <w:r w:rsidR="00125734">
        <w:rPr>
          <w:rFonts w:ascii="Calibri" w:hAnsi="Calibri" w:cs="Calibri"/>
          <w:sz w:val="22"/>
          <w:szCs w:val="22"/>
        </w:rPr>
        <w:t xml:space="preserve"> </w:t>
      </w:r>
      <w:r w:rsidR="002D097E">
        <w:rPr>
          <w:rFonts w:ascii="Calibri" w:hAnsi="Calibri" w:cs="Calibri"/>
          <w:sz w:val="22"/>
          <w:szCs w:val="22"/>
        </w:rPr>
        <w:t xml:space="preserve">the </w:t>
      </w:r>
      <w:r w:rsidR="00125734">
        <w:rPr>
          <w:rFonts w:ascii="Calibri" w:hAnsi="Calibri" w:cs="Calibri"/>
          <w:sz w:val="22"/>
          <w:szCs w:val="22"/>
        </w:rPr>
        <w:t>judiciary</w:t>
      </w:r>
      <w:r w:rsidR="009D13D0">
        <w:rPr>
          <w:rFonts w:ascii="Calibri" w:hAnsi="Calibri" w:cs="Calibri"/>
          <w:sz w:val="22"/>
          <w:szCs w:val="22"/>
        </w:rPr>
        <w:t xml:space="preserve"> and</w:t>
      </w:r>
      <w:r w:rsidR="002D097E">
        <w:rPr>
          <w:rFonts w:ascii="Calibri" w:hAnsi="Calibri" w:cs="Calibri"/>
          <w:sz w:val="22"/>
          <w:szCs w:val="22"/>
        </w:rPr>
        <w:t xml:space="preserve"> </w:t>
      </w:r>
      <w:r w:rsidR="004376DA">
        <w:rPr>
          <w:rFonts w:ascii="Calibri" w:hAnsi="Calibri" w:cs="Calibri"/>
          <w:sz w:val="22"/>
          <w:szCs w:val="22"/>
        </w:rPr>
        <w:t>gras</w:t>
      </w:r>
      <w:r w:rsidR="00DD528E">
        <w:rPr>
          <w:rFonts w:ascii="Calibri" w:hAnsi="Calibri" w:cs="Calibri"/>
          <w:sz w:val="22"/>
          <w:szCs w:val="22"/>
        </w:rPr>
        <w:t>s</w:t>
      </w:r>
      <w:r w:rsidR="004376DA">
        <w:rPr>
          <w:rFonts w:ascii="Calibri" w:hAnsi="Calibri" w:cs="Calibri"/>
          <w:sz w:val="22"/>
          <w:szCs w:val="22"/>
        </w:rPr>
        <w:t>roots justice workers</w:t>
      </w:r>
      <w:r w:rsidRPr="1C233A14">
        <w:rPr>
          <w:rFonts w:ascii="Calibri" w:hAnsi="Calibri" w:cs="Calibri"/>
          <w:sz w:val="22"/>
          <w:szCs w:val="22"/>
        </w:rPr>
        <w:t xml:space="preserve">. The focus will be on </w:t>
      </w:r>
      <w:r w:rsidRPr="1C233A14">
        <w:rPr>
          <w:rStyle w:val="Strong"/>
          <w:rFonts w:ascii="Calibri" w:hAnsi="Calibri" w:cs="Calibri"/>
          <w:b w:val="0"/>
          <w:bCs w:val="0"/>
          <w:sz w:val="22"/>
          <w:szCs w:val="22"/>
        </w:rPr>
        <w:t>exploring best practices</w:t>
      </w:r>
      <w:r w:rsidR="000D4AA9">
        <w:rPr>
          <w:rStyle w:val="Strong"/>
          <w:rFonts w:ascii="Calibri" w:hAnsi="Calibri" w:cs="Calibri"/>
          <w:b w:val="0"/>
          <w:bCs w:val="0"/>
          <w:sz w:val="22"/>
          <w:szCs w:val="22"/>
        </w:rPr>
        <w:t xml:space="preserve">, innovations and </w:t>
      </w:r>
      <w:r w:rsidRPr="1C233A14">
        <w:rPr>
          <w:rStyle w:val="Strong"/>
          <w:rFonts w:ascii="Calibri" w:hAnsi="Calibri" w:cs="Calibri"/>
          <w:b w:val="0"/>
          <w:bCs w:val="0"/>
          <w:sz w:val="22"/>
          <w:szCs w:val="22"/>
        </w:rPr>
        <w:t>lessons learned</w:t>
      </w:r>
      <w:r w:rsidRPr="1C233A1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1C233A14">
        <w:rPr>
          <w:rFonts w:ascii="Calibri" w:hAnsi="Calibri" w:cs="Calibri"/>
          <w:sz w:val="22"/>
          <w:szCs w:val="22"/>
        </w:rPr>
        <w:t xml:space="preserve">from </w:t>
      </w:r>
      <w:r w:rsidR="005631E1">
        <w:rPr>
          <w:rFonts w:ascii="Calibri" w:hAnsi="Calibri" w:cs="Calibri"/>
          <w:sz w:val="22"/>
          <w:szCs w:val="22"/>
        </w:rPr>
        <w:t>Africa</w:t>
      </w:r>
      <w:r w:rsidR="00632326">
        <w:rPr>
          <w:rFonts w:ascii="Calibri" w:hAnsi="Calibri" w:cs="Calibri"/>
          <w:sz w:val="22"/>
          <w:szCs w:val="22"/>
        </w:rPr>
        <w:t xml:space="preserve">, </w:t>
      </w:r>
      <w:r w:rsidRPr="1C233A14">
        <w:rPr>
          <w:rFonts w:ascii="Calibri" w:hAnsi="Calibri" w:cs="Calibri"/>
          <w:sz w:val="22"/>
          <w:szCs w:val="22"/>
        </w:rPr>
        <w:t xml:space="preserve">in advancing open government and people-centered justice. This will provide an opportunity for </w:t>
      </w:r>
      <w:r w:rsidR="005631E1">
        <w:rPr>
          <w:rFonts w:ascii="Calibri" w:hAnsi="Calibri" w:cs="Calibri"/>
          <w:sz w:val="22"/>
          <w:szCs w:val="22"/>
        </w:rPr>
        <w:t>inter</w:t>
      </w:r>
      <w:r w:rsidRPr="1C233A14">
        <w:rPr>
          <w:rFonts w:ascii="Calibri" w:hAnsi="Calibri" w:cs="Calibri"/>
          <w:sz w:val="22"/>
          <w:szCs w:val="22"/>
        </w:rPr>
        <w:t>regional learning and identifying actionable strategies to address shared challenges.</w:t>
      </w:r>
    </w:p>
    <w:p w14:paraId="64D746B3" w14:textId="77777777" w:rsidR="00EC4736" w:rsidRPr="00D83471" w:rsidRDefault="00EC4736" w:rsidP="00EC4736">
      <w:pPr>
        <w:shd w:val="clear" w:color="auto" w:fill="FFFFFF"/>
        <w:spacing w:before="280" w:after="280"/>
        <w:rPr>
          <w:rFonts w:ascii="Futura Condensed Medium" w:hAnsi="Futura Condensed Medium" w:cs="Futura Condensed Medium"/>
          <w:color w:val="00689D"/>
        </w:rPr>
      </w:pPr>
      <w:r w:rsidRPr="00D83471">
        <w:rPr>
          <w:rFonts w:ascii="Futura Condensed Medium" w:hAnsi="Futura Condensed Medium" w:cs="Futura Condensed Medium"/>
          <w:color w:val="00689D"/>
        </w:rPr>
        <w:t>Agenda and Speakers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EC4736" w:rsidRPr="00125734" w14:paraId="4B7BB6AC" w14:textId="77777777" w:rsidTr="00EC4736">
        <w:tc>
          <w:tcPr>
            <w:tcW w:w="1435" w:type="dxa"/>
          </w:tcPr>
          <w:p w14:paraId="366DBE61" w14:textId="77777777" w:rsidR="009D13D0" w:rsidRDefault="009D13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C1821B" w14:textId="2D77A379" w:rsidR="00EC4736" w:rsidRPr="00125734" w:rsidRDefault="002C42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5879DB" w:rsidRPr="001257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4736" w:rsidRPr="00125734">
              <w:rPr>
                <w:rFonts w:asciiTheme="minorHAnsi" w:hAnsiTheme="minorHAnsi" w:cstheme="minorHAnsi"/>
                <w:sz w:val="22"/>
                <w:szCs w:val="22"/>
              </w:rPr>
              <w:t>minutes</w:t>
            </w:r>
          </w:p>
        </w:tc>
        <w:tc>
          <w:tcPr>
            <w:tcW w:w="7915" w:type="dxa"/>
          </w:tcPr>
          <w:p w14:paraId="05D4D095" w14:textId="77777777" w:rsidR="009D13D0" w:rsidRDefault="009D13D0" w:rsidP="001B581E">
            <w:pPr>
              <w:ind w:left="287" w:hanging="1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8BA23F" w14:textId="2B2D59A5" w:rsidR="00EC4736" w:rsidRPr="00936FA5" w:rsidRDefault="00EC4736" w:rsidP="001B581E">
            <w:pPr>
              <w:ind w:left="287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1257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Opening of the session by </w:t>
            </w:r>
            <w:r w:rsidR="00936F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 Modera</w:t>
            </w:r>
            <w:r w:rsidR="00936FA5" w:rsidRPr="003B75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tor</w:t>
            </w:r>
            <w:r w:rsidR="00936FA5" w:rsidRPr="0012365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631E1" w:rsidRPr="00123655">
              <w:rPr>
                <w:rFonts w:asciiTheme="minorHAnsi" w:hAnsiTheme="minorHAnsi" w:cstheme="minorHAnsi"/>
                <w:sz w:val="22"/>
                <w:szCs w:val="22"/>
              </w:rPr>
              <w:t>Themba Mahleka, Pathfinders for Peaceful, Just and Inclusive Societies</w:t>
            </w:r>
          </w:p>
          <w:p w14:paraId="76A8F995" w14:textId="1E81279C" w:rsidR="009D13D0" w:rsidRPr="009B5463" w:rsidRDefault="009D13D0" w:rsidP="009B54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736" w:rsidRPr="00125734" w14:paraId="3CB78FC6" w14:textId="77777777" w:rsidTr="005879DB">
        <w:trPr>
          <w:trHeight w:val="368"/>
        </w:trPr>
        <w:tc>
          <w:tcPr>
            <w:tcW w:w="1435" w:type="dxa"/>
          </w:tcPr>
          <w:p w14:paraId="1EC287DC" w14:textId="77777777" w:rsidR="009D13D0" w:rsidRDefault="009D13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FE6AA7" w14:textId="3CFDB4E6" w:rsidR="00EC4736" w:rsidRDefault="003B75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125734" w:rsidRPr="001257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4736" w:rsidRPr="00125734">
              <w:rPr>
                <w:rFonts w:asciiTheme="minorHAnsi" w:hAnsiTheme="minorHAnsi" w:cstheme="minorHAnsi"/>
                <w:sz w:val="22"/>
                <w:szCs w:val="22"/>
              </w:rPr>
              <w:t>minutes</w:t>
            </w:r>
          </w:p>
          <w:p w14:paraId="641BD3C0" w14:textId="37680C6C" w:rsidR="00125734" w:rsidRPr="00125734" w:rsidRDefault="001257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15" w:type="dxa"/>
          </w:tcPr>
          <w:p w14:paraId="40F1E7EA" w14:textId="77777777" w:rsidR="009D13D0" w:rsidRDefault="009D13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BD7D90D" w14:textId="0E516A77" w:rsidR="00D83471" w:rsidRPr="00D83471" w:rsidRDefault="009D13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Justice</w:t>
            </w:r>
            <w:r w:rsidR="00D834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Joseph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834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Sergon</w:t>
            </w:r>
            <w:proofErr w:type="spellEnd"/>
            <w:r w:rsidRPr="00D8347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83471" w:rsidRPr="00D83471">
              <w:rPr>
                <w:rFonts w:asciiTheme="minorHAnsi" w:hAnsiTheme="minorHAnsi" w:cstheme="minorHAnsi"/>
                <w:sz w:val="22"/>
                <w:szCs w:val="22"/>
              </w:rPr>
              <w:t>National Steering Committee on Implementation of Alternative Justice Systems Policy</w:t>
            </w:r>
            <w:r w:rsidR="00123655">
              <w:rPr>
                <w:rFonts w:asciiTheme="minorHAnsi" w:hAnsiTheme="minorHAnsi" w:cstheme="minorHAnsi"/>
                <w:sz w:val="22"/>
                <w:szCs w:val="22"/>
              </w:rPr>
              <w:t>, Kenya</w:t>
            </w:r>
          </w:p>
          <w:p w14:paraId="1A9762D7" w14:textId="6662A219" w:rsidR="009D13D0" w:rsidRPr="009B5463" w:rsidRDefault="009D13D0" w:rsidP="009B54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75A5" w:rsidRPr="00125734" w14:paraId="31E74702" w14:textId="77777777" w:rsidTr="005879DB">
        <w:trPr>
          <w:trHeight w:val="368"/>
        </w:trPr>
        <w:tc>
          <w:tcPr>
            <w:tcW w:w="1435" w:type="dxa"/>
          </w:tcPr>
          <w:p w14:paraId="02E8C4D7" w14:textId="77777777" w:rsidR="003B75A5" w:rsidRDefault="003B75A5" w:rsidP="003B75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D41CF6" w14:textId="77777777" w:rsidR="003B75A5" w:rsidRDefault="003B75A5" w:rsidP="003B75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125734">
              <w:rPr>
                <w:rFonts w:asciiTheme="minorHAnsi" w:hAnsiTheme="minorHAnsi" w:cstheme="minorHAnsi"/>
                <w:sz w:val="22"/>
                <w:szCs w:val="22"/>
              </w:rPr>
              <w:t xml:space="preserve"> minutes</w:t>
            </w:r>
          </w:p>
          <w:p w14:paraId="195685AC" w14:textId="77777777" w:rsidR="003B75A5" w:rsidRDefault="003B75A5" w:rsidP="003B75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15" w:type="dxa"/>
          </w:tcPr>
          <w:p w14:paraId="0267CD55" w14:textId="77777777" w:rsidR="003B75A5" w:rsidRDefault="003B75A5" w:rsidP="003B75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33CF6B1" w14:textId="5CC3EBED" w:rsidR="003B75A5" w:rsidRPr="00125734" w:rsidRDefault="003B75A5" w:rsidP="003B75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Aimee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Ongeso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Pr="00D83471">
              <w:rPr>
                <w:rFonts w:asciiTheme="minorHAnsi" w:hAnsiTheme="minorHAnsi" w:cstheme="minorHAnsi"/>
                <w:sz w:val="22"/>
                <w:szCs w:val="22"/>
              </w:rPr>
              <w:t>Grassroots Justice Network</w:t>
            </w:r>
          </w:p>
          <w:p w14:paraId="2752E350" w14:textId="77777777" w:rsidR="003B75A5" w:rsidRDefault="003B75A5" w:rsidP="009B5463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C4736" w:rsidRPr="00125734" w14:paraId="3C78DB16" w14:textId="77777777" w:rsidTr="00EC4736">
        <w:tc>
          <w:tcPr>
            <w:tcW w:w="1435" w:type="dxa"/>
          </w:tcPr>
          <w:p w14:paraId="7D7D4C36" w14:textId="77777777" w:rsidR="009D13D0" w:rsidRDefault="009D13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4A05A3" w14:textId="01F19DFF" w:rsidR="00EC4736" w:rsidRDefault="003B75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EC4736" w:rsidRPr="00125734">
              <w:rPr>
                <w:rFonts w:asciiTheme="minorHAnsi" w:hAnsiTheme="minorHAnsi" w:cstheme="minorHAnsi"/>
                <w:sz w:val="22"/>
                <w:szCs w:val="22"/>
              </w:rPr>
              <w:t xml:space="preserve"> minutes</w:t>
            </w:r>
          </w:p>
          <w:p w14:paraId="69136536" w14:textId="0A20586C" w:rsidR="00125734" w:rsidRPr="00125734" w:rsidRDefault="001257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15" w:type="dxa"/>
          </w:tcPr>
          <w:p w14:paraId="4EAB3D3F" w14:textId="77777777" w:rsidR="009D13D0" w:rsidRDefault="009D13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0F5317A" w14:textId="017311A0" w:rsidR="00B37E64" w:rsidRPr="00D83471" w:rsidRDefault="00B37E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7E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Clifford Msiska, </w:t>
            </w:r>
            <w:r w:rsidRPr="00D83471">
              <w:rPr>
                <w:rFonts w:asciiTheme="minorHAnsi" w:hAnsiTheme="minorHAnsi" w:cstheme="minorHAnsi"/>
                <w:sz w:val="22"/>
                <w:szCs w:val="22"/>
              </w:rPr>
              <w:t xml:space="preserve">PASI/ African Centre </w:t>
            </w:r>
            <w:r w:rsidR="008821E5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Pr="00D83471">
              <w:rPr>
                <w:rFonts w:asciiTheme="minorHAnsi" w:hAnsiTheme="minorHAnsi" w:cstheme="minorHAnsi"/>
                <w:sz w:val="22"/>
                <w:szCs w:val="22"/>
              </w:rPr>
              <w:t xml:space="preserve"> Excellence </w:t>
            </w:r>
            <w:r w:rsidR="008821E5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Pr="00D83471">
              <w:rPr>
                <w:rFonts w:asciiTheme="minorHAnsi" w:hAnsiTheme="minorHAnsi" w:cstheme="minorHAnsi"/>
                <w:sz w:val="22"/>
                <w:szCs w:val="22"/>
              </w:rPr>
              <w:t xml:space="preserve"> Access to Justice</w:t>
            </w:r>
          </w:p>
          <w:p w14:paraId="281EB0FE" w14:textId="7E058360" w:rsidR="009D13D0" w:rsidRPr="00125734" w:rsidRDefault="009D13D0" w:rsidP="009B5463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736" w:rsidRPr="00125734" w14:paraId="4AA8C1FC" w14:textId="77777777" w:rsidTr="00EC4736">
        <w:tc>
          <w:tcPr>
            <w:tcW w:w="1435" w:type="dxa"/>
          </w:tcPr>
          <w:p w14:paraId="48734D18" w14:textId="77777777" w:rsidR="003B75A5" w:rsidRDefault="003B75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532B12" w14:textId="5E084A9D" w:rsidR="00EC4736" w:rsidRPr="00125734" w:rsidRDefault="001775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2C428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EC4736" w:rsidRPr="00125734">
              <w:rPr>
                <w:rFonts w:asciiTheme="minorHAnsi" w:hAnsiTheme="minorHAnsi" w:cstheme="minorHAnsi"/>
                <w:sz w:val="22"/>
                <w:szCs w:val="22"/>
              </w:rPr>
              <w:t xml:space="preserve"> minutes</w:t>
            </w:r>
          </w:p>
        </w:tc>
        <w:tc>
          <w:tcPr>
            <w:tcW w:w="7915" w:type="dxa"/>
          </w:tcPr>
          <w:p w14:paraId="59399E29" w14:textId="77777777" w:rsidR="003B75A5" w:rsidRDefault="003B75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CCBB04A" w14:textId="260C7A22" w:rsidR="00EC4736" w:rsidRPr="002C428B" w:rsidRDefault="00EC47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57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Open discussion with audience participatio</w:t>
            </w:r>
            <w:r w:rsidRPr="003B75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="003B75A5" w:rsidRPr="003B75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B75A5" w:rsidRPr="002C428B">
              <w:rPr>
                <w:rFonts w:asciiTheme="minorHAnsi" w:hAnsiTheme="minorHAnsi" w:cstheme="minorHAnsi"/>
                <w:sz w:val="22"/>
                <w:szCs w:val="22"/>
              </w:rPr>
              <w:t>moderated by Themba Mahleka</w:t>
            </w:r>
            <w:r w:rsidR="008F645A" w:rsidRPr="002C428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3B75A5" w:rsidRPr="002C428B">
              <w:rPr>
                <w:rFonts w:asciiTheme="minorHAnsi" w:hAnsiTheme="minorHAnsi" w:cstheme="minorHAnsi"/>
                <w:sz w:val="22"/>
                <w:szCs w:val="22"/>
              </w:rPr>
              <w:t xml:space="preserve">Pathfinders </w:t>
            </w:r>
          </w:p>
          <w:p w14:paraId="42A8393D" w14:textId="0A617E5E" w:rsidR="003B75A5" w:rsidRPr="00125734" w:rsidRDefault="003B75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C4736" w:rsidRPr="00125734" w14:paraId="21CD9F42" w14:textId="77777777" w:rsidTr="001B581E">
        <w:trPr>
          <w:trHeight w:val="62"/>
        </w:trPr>
        <w:tc>
          <w:tcPr>
            <w:tcW w:w="1435" w:type="dxa"/>
          </w:tcPr>
          <w:p w14:paraId="6AFF25E8" w14:textId="77777777" w:rsidR="003B75A5" w:rsidRDefault="003B75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2EB959" w14:textId="0232444B" w:rsidR="00EC4736" w:rsidRPr="00125734" w:rsidRDefault="00B239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EC4736" w:rsidRPr="00125734">
              <w:rPr>
                <w:rFonts w:asciiTheme="minorHAnsi" w:hAnsiTheme="minorHAnsi" w:cstheme="minorHAnsi"/>
                <w:sz w:val="22"/>
                <w:szCs w:val="22"/>
              </w:rPr>
              <w:t xml:space="preserve"> minutes</w:t>
            </w:r>
          </w:p>
        </w:tc>
        <w:tc>
          <w:tcPr>
            <w:tcW w:w="7915" w:type="dxa"/>
          </w:tcPr>
          <w:p w14:paraId="0B008CC9" w14:textId="77777777" w:rsidR="003B75A5" w:rsidRDefault="003B75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305F6EC" w14:textId="7A7C27D3" w:rsidR="00EC4736" w:rsidRDefault="00EC473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57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Closing </w:t>
            </w:r>
            <w:r w:rsidR="00B239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Remarks by Marie </w:t>
            </w:r>
            <w:proofErr w:type="spellStart"/>
            <w:r w:rsidR="00B239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Duprez</w:t>
            </w:r>
            <w:proofErr w:type="spellEnd"/>
            <w:r w:rsidR="00B239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="00B239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HiiL</w:t>
            </w:r>
            <w:proofErr w:type="spellEnd"/>
          </w:p>
          <w:p w14:paraId="0F894FF8" w14:textId="595E200E" w:rsidR="003B75A5" w:rsidRPr="009B5463" w:rsidRDefault="003B75A5" w:rsidP="009B546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3CDCE82" w14:textId="77777777" w:rsidR="00EC4736" w:rsidRDefault="00EC4736"/>
    <w:sectPr w:rsidR="00EC4736" w:rsidSect="00DD3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utura Condensed Medium">
    <w:altName w:val="FUTURA CONDENSED MEDIUM"/>
    <w:panose1 w:val="020B0506020204030204"/>
    <w:charset w:val="B1"/>
    <w:family w:val="swiss"/>
    <w:pitch w:val="variable"/>
    <w:sig w:usb0="80000867" w:usb1="00000000" w:usb2="00000000" w:usb3="00000000" w:csb0="000001FB" w:csb1="00000000"/>
  </w:font>
  <w:font w:name="Poppins Medium">
    <w:panose1 w:val="000006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6171"/>
    <w:multiLevelType w:val="hybridMultilevel"/>
    <w:tmpl w:val="B01837B6"/>
    <w:lvl w:ilvl="0" w:tplc="54A84B2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21A36"/>
    <w:multiLevelType w:val="hybridMultilevel"/>
    <w:tmpl w:val="77D6CA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3136A"/>
    <w:multiLevelType w:val="hybridMultilevel"/>
    <w:tmpl w:val="90CE99C8"/>
    <w:lvl w:ilvl="0" w:tplc="3ABED69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B4B49"/>
    <w:multiLevelType w:val="hybridMultilevel"/>
    <w:tmpl w:val="589484A4"/>
    <w:lvl w:ilvl="0" w:tplc="1500F8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A426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93B59"/>
    <w:multiLevelType w:val="hybridMultilevel"/>
    <w:tmpl w:val="1160EC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D2D4D"/>
    <w:multiLevelType w:val="hybridMultilevel"/>
    <w:tmpl w:val="3760AEB0"/>
    <w:lvl w:ilvl="0" w:tplc="04090003">
      <w:start w:val="1"/>
      <w:numFmt w:val="bullet"/>
      <w:lvlText w:val="o"/>
      <w:lvlJc w:val="left"/>
      <w:pPr>
        <w:ind w:left="467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6" w15:restartNumberingAfterBreak="0">
    <w:nsid w:val="56066D50"/>
    <w:multiLevelType w:val="hybridMultilevel"/>
    <w:tmpl w:val="0A0E1B66"/>
    <w:lvl w:ilvl="0" w:tplc="8F924FCE">
      <w:start w:val="5"/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7" w15:restartNumberingAfterBreak="0">
    <w:nsid w:val="5A68219C"/>
    <w:multiLevelType w:val="hybridMultilevel"/>
    <w:tmpl w:val="6BAC44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95953"/>
    <w:multiLevelType w:val="hybridMultilevel"/>
    <w:tmpl w:val="F85A2C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B6E2E"/>
    <w:multiLevelType w:val="hybridMultilevel"/>
    <w:tmpl w:val="67EC41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656747">
    <w:abstractNumId w:val="2"/>
  </w:num>
  <w:num w:numId="2" w16cid:durableId="2083552802">
    <w:abstractNumId w:val="3"/>
  </w:num>
  <w:num w:numId="3" w16cid:durableId="1919904779">
    <w:abstractNumId w:val="0"/>
  </w:num>
  <w:num w:numId="4" w16cid:durableId="1521237301">
    <w:abstractNumId w:val="6"/>
  </w:num>
  <w:num w:numId="5" w16cid:durableId="196964626">
    <w:abstractNumId w:val="5"/>
  </w:num>
  <w:num w:numId="6" w16cid:durableId="2131124949">
    <w:abstractNumId w:val="8"/>
  </w:num>
  <w:num w:numId="7" w16cid:durableId="1207834327">
    <w:abstractNumId w:val="7"/>
  </w:num>
  <w:num w:numId="8" w16cid:durableId="1375538833">
    <w:abstractNumId w:val="1"/>
  </w:num>
  <w:num w:numId="9" w16cid:durableId="1439250431">
    <w:abstractNumId w:val="9"/>
  </w:num>
  <w:num w:numId="10" w16cid:durableId="946544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36"/>
    <w:rsid w:val="000135EC"/>
    <w:rsid w:val="000D4AA9"/>
    <w:rsid w:val="00123655"/>
    <w:rsid w:val="00125734"/>
    <w:rsid w:val="001731B9"/>
    <w:rsid w:val="001775CC"/>
    <w:rsid w:val="00181B25"/>
    <w:rsid w:val="001B581E"/>
    <w:rsid w:val="001E1314"/>
    <w:rsid w:val="0025574F"/>
    <w:rsid w:val="002C428B"/>
    <w:rsid w:val="002C50E4"/>
    <w:rsid w:val="002D097E"/>
    <w:rsid w:val="003B75A5"/>
    <w:rsid w:val="004376DA"/>
    <w:rsid w:val="00496CF0"/>
    <w:rsid w:val="004A15A8"/>
    <w:rsid w:val="004C51B0"/>
    <w:rsid w:val="004D69D7"/>
    <w:rsid w:val="0052144E"/>
    <w:rsid w:val="0053577E"/>
    <w:rsid w:val="005631E1"/>
    <w:rsid w:val="00573950"/>
    <w:rsid w:val="005879DB"/>
    <w:rsid w:val="00632326"/>
    <w:rsid w:val="006335C4"/>
    <w:rsid w:val="00653F18"/>
    <w:rsid w:val="00672FEC"/>
    <w:rsid w:val="006956AD"/>
    <w:rsid w:val="006B430C"/>
    <w:rsid w:val="006D26D8"/>
    <w:rsid w:val="007A680D"/>
    <w:rsid w:val="0080045C"/>
    <w:rsid w:val="0087531C"/>
    <w:rsid w:val="008821E5"/>
    <w:rsid w:val="008F06DE"/>
    <w:rsid w:val="008F645A"/>
    <w:rsid w:val="0090459B"/>
    <w:rsid w:val="009333B0"/>
    <w:rsid w:val="00936FA5"/>
    <w:rsid w:val="009B5463"/>
    <w:rsid w:val="009C5CF7"/>
    <w:rsid w:val="009D13D0"/>
    <w:rsid w:val="00A4735E"/>
    <w:rsid w:val="00AF2A2A"/>
    <w:rsid w:val="00B239E9"/>
    <w:rsid w:val="00B37E64"/>
    <w:rsid w:val="00B90B37"/>
    <w:rsid w:val="00BD5EA1"/>
    <w:rsid w:val="00BD6048"/>
    <w:rsid w:val="00C94457"/>
    <w:rsid w:val="00CC693D"/>
    <w:rsid w:val="00CE08F0"/>
    <w:rsid w:val="00D342F0"/>
    <w:rsid w:val="00D772FC"/>
    <w:rsid w:val="00D83471"/>
    <w:rsid w:val="00DD33A7"/>
    <w:rsid w:val="00DD528E"/>
    <w:rsid w:val="00E72AFE"/>
    <w:rsid w:val="00EC4736"/>
    <w:rsid w:val="00F7479E"/>
    <w:rsid w:val="1C23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EA793"/>
  <w15:chartTrackingRefBased/>
  <w15:docId w15:val="{73D1524C-210B-E84E-A3B7-F87BB695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81E"/>
    <w:rPr>
      <w:rFonts w:ascii="Times New Roman" w:eastAsia="Times New Roman" w:hAnsi="Times New Roman" w:cs="Times New Roman"/>
      <w:kern w:val="0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D8347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736"/>
    <w:pPr>
      <w:ind w:left="720"/>
      <w:contextualSpacing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EC47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736"/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736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7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736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EC473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C4736"/>
    <w:rPr>
      <w:b/>
      <w:bCs/>
    </w:rPr>
  </w:style>
  <w:style w:type="character" w:styleId="Emphasis">
    <w:name w:val="Emphasis"/>
    <w:basedOn w:val="DefaultParagraphFont"/>
    <w:uiPriority w:val="20"/>
    <w:qFormat/>
    <w:rsid w:val="00EC4736"/>
    <w:rPr>
      <w:i/>
      <w:iCs/>
    </w:rPr>
  </w:style>
  <w:style w:type="table" w:styleId="TableGrid">
    <w:name w:val="Table Grid"/>
    <w:basedOn w:val="TableNormal"/>
    <w:uiPriority w:val="39"/>
    <w:rsid w:val="00EC4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35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5C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D4AA9"/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631E1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8347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6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0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govpartnership.org/policy-area/justic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sdg16.plus/african-alliance-for-people-centered-justi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dg16.plus/african-alliance-for-people-centered-just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Guyot</dc:creator>
  <cp:keywords/>
  <dc:description/>
  <cp:lastModifiedBy>Themba Mahleka</cp:lastModifiedBy>
  <cp:revision>3</cp:revision>
  <dcterms:created xsi:type="dcterms:W3CDTF">2025-03-12T18:48:00Z</dcterms:created>
  <dcterms:modified xsi:type="dcterms:W3CDTF">2025-03-20T18:18:00Z</dcterms:modified>
</cp:coreProperties>
</file>